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3AE2" w:rsidRPr="002F3AE2" w:rsidRDefault="002F3AE2" w:rsidP="002F3AE2">
      <w:pPr>
        <w:spacing w:before="280" w:after="80" w:line="240" w:lineRule="auto"/>
        <w:outlineLvl w:val="2"/>
        <w:rPr>
          <w:rFonts w:eastAsia="Times New Roman" w:cstheme="minorHAnsi"/>
          <w:b/>
          <w:bCs/>
          <w:color w:val="000000"/>
        </w:rPr>
      </w:pPr>
      <w:r w:rsidRPr="002F3AE2">
        <w:rPr>
          <w:rFonts w:eastAsia="Times New Roman" w:cstheme="minorHAnsi"/>
          <w:b/>
          <w:bCs/>
          <w:color w:val="000000"/>
        </w:rPr>
        <w:t>MODAC – TRENDS Themes</w:t>
      </w:r>
    </w:p>
    <w:p w:rsidR="002F3AE2" w:rsidRPr="002F3AE2" w:rsidRDefault="002F3AE2" w:rsidP="002F3AE2">
      <w:pPr>
        <w:spacing w:before="280" w:after="80" w:line="240" w:lineRule="auto"/>
        <w:outlineLvl w:val="2"/>
        <w:rPr>
          <w:rFonts w:eastAsia="Times New Roman" w:cstheme="minorHAnsi"/>
          <w:b/>
          <w:bCs/>
        </w:rPr>
      </w:pPr>
      <w:r w:rsidRPr="002F3AE2">
        <w:rPr>
          <w:rFonts w:eastAsia="Times New Roman" w:cstheme="minorHAnsi"/>
          <w:b/>
          <w:bCs/>
          <w:color w:val="000000"/>
        </w:rPr>
        <w:t>1. Future-Ready Workforce: Adapting Education for Tomorrow’s Jobs</w:t>
      </w:r>
    </w:p>
    <w:p w:rsidR="002F3AE2" w:rsidRPr="002F3AE2" w:rsidRDefault="002F3AE2" w:rsidP="002F3AE2">
      <w:pPr>
        <w:spacing w:before="240" w:after="240" w:line="240" w:lineRule="auto"/>
        <w:rPr>
          <w:rFonts w:eastAsia="Times New Roman" w:cstheme="minorHAnsi"/>
        </w:rPr>
      </w:pPr>
      <w:r w:rsidRPr="002F3AE2">
        <w:rPr>
          <w:rFonts w:eastAsia="Times New Roman" w:cstheme="minorHAnsi"/>
          <w:color w:val="000000"/>
        </w:rPr>
        <w:t>Exploring how community colleges can align curricula with evolving industry needs, emerging technologies, and workforce demands.</w:t>
      </w:r>
    </w:p>
    <w:p w:rsidR="002F3AE2" w:rsidRPr="002F3AE2" w:rsidRDefault="002F3AE2" w:rsidP="002F3AE2">
      <w:pPr>
        <w:spacing w:before="280" w:after="80" w:line="240" w:lineRule="auto"/>
        <w:outlineLvl w:val="2"/>
        <w:rPr>
          <w:rFonts w:eastAsia="Times New Roman" w:cstheme="minorHAnsi"/>
          <w:b/>
          <w:bCs/>
        </w:rPr>
      </w:pPr>
      <w:r w:rsidRPr="002F3AE2">
        <w:rPr>
          <w:rFonts w:eastAsia="Times New Roman" w:cstheme="minorHAnsi"/>
          <w:b/>
          <w:bCs/>
          <w:color w:val="000000"/>
        </w:rPr>
        <w:t>2. Innovation in Career &amp; Technical Education: Best Practices for Impact</w:t>
      </w:r>
    </w:p>
    <w:p w:rsidR="002F3AE2" w:rsidRPr="002F3AE2" w:rsidRDefault="002F3AE2" w:rsidP="002F3AE2">
      <w:pPr>
        <w:spacing w:before="240" w:after="240" w:line="240" w:lineRule="auto"/>
        <w:rPr>
          <w:rFonts w:eastAsia="Times New Roman" w:cstheme="minorHAnsi"/>
        </w:rPr>
      </w:pPr>
      <w:r w:rsidRPr="002F3AE2">
        <w:rPr>
          <w:rFonts w:eastAsia="Times New Roman" w:cstheme="minorHAnsi"/>
          <w:color w:val="000000"/>
        </w:rPr>
        <w:t>Highlighting successful strategies in program development, instructional techniques, and technology integration to enhance student learning.</w:t>
      </w:r>
    </w:p>
    <w:p w:rsidR="002F3AE2" w:rsidRPr="002F3AE2" w:rsidRDefault="002F3AE2" w:rsidP="002F3AE2">
      <w:pPr>
        <w:spacing w:before="280" w:after="80" w:line="240" w:lineRule="auto"/>
        <w:outlineLvl w:val="2"/>
        <w:rPr>
          <w:rFonts w:eastAsia="Times New Roman" w:cstheme="minorHAnsi"/>
          <w:b/>
          <w:bCs/>
        </w:rPr>
      </w:pPr>
      <w:r w:rsidRPr="002F3AE2">
        <w:rPr>
          <w:rFonts w:eastAsia="Times New Roman" w:cstheme="minorHAnsi"/>
          <w:b/>
          <w:bCs/>
          <w:color w:val="000000"/>
        </w:rPr>
        <w:t>3. Strengthening Industry-Education Partnerships: Building Bridges for Success</w:t>
      </w:r>
    </w:p>
    <w:p w:rsidR="002F3AE2" w:rsidRPr="002F3AE2" w:rsidRDefault="002F3AE2" w:rsidP="002F3AE2">
      <w:pPr>
        <w:spacing w:before="240" w:after="240" w:line="240" w:lineRule="auto"/>
        <w:rPr>
          <w:rFonts w:eastAsia="Times New Roman" w:cstheme="minorHAnsi"/>
        </w:rPr>
      </w:pPr>
      <w:r w:rsidRPr="002F3AE2">
        <w:rPr>
          <w:rFonts w:eastAsia="Times New Roman" w:cstheme="minorHAnsi"/>
          <w:color w:val="000000"/>
        </w:rPr>
        <w:t>Focusing on collaboration between community colleges and industry leaders to ensure students gain relevant skills and hands-on experience.</w:t>
      </w:r>
    </w:p>
    <w:p w:rsidR="009F6119" w:rsidRDefault="00C63512"/>
    <w:p w:rsidR="002F3AE2" w:rsidRDefault="002F3AE2">
      <w:bookmarkStart w:id="0" w:name="_GoBack"/>
      <w:bookmarkEnd w:id="0"/>
    </w:p>
    <w:p w:rsidR="005D692B" w:rsidRDefault="005D692B">
      <w:r>
        <w:t>Combined-</w:t>
      </w:r>
    </w:p>
    <w:p w:rsidR="005D692B" w:rsidRPr="005D692B" w:rsidRDefault="005D692B" w:rsidP="005D692B">
      <w:pPr>
        <w:rPr>
          <w:b/>
        </w:rPr>
      </w:pPr>
      <w:r w:rsidRPr="005D692B">
        <w:rPr>
          <w:b/>
        </w:rPr>
        <w:t>"Empowering</w:t>
      </w:r>
      <w:r w:rsidR="00E76EC9">
        <w:rPr>
          <w:b/>
        </w:rPr>
        <w:t xml:space="preserve"> Today’s</w:t>
      </w:r>
      <w:r w:rsidRPr="005D692B">
        <w:rPr>
          <w:b/>
        </w:rPr>
        <w:t xml:space="preserve"> </w:t>
      </w:r>
      <w:r w:rsidR="001E6F94">
        <w:rPr>
          <w:b/>
        </w:rPr>
        <w:t>Educators</w:t>
      </w:r>
      <w:r w:rsidRPr="005D692B">
        <w:rPr>
          <w:b/>
        </w:rPr>
        <w:t xml:space="preserve">: Bridging </w:t>
      </w:r>
      <w:r w:rsidR="001E6F94" w:rsidRPr="005D692B">
        <w:rPr>
          <w:b/>
        </w:rPr>
        <w:t>Innovation</w:t>
      </w:r>
      <w:r w:rsidR="001E6F94">
        <w:rPr>
          <w:b/>
        </w:rPr>
        <w:t>,</w:t>
      </w:r>
      <w:r w:rsidR="001E6F94" w:rsidRPr="005D692B">
        <w:rPr>
          <w:b/>
        </w:rPr>
        <w:t xml:space="preserve"> </w:t>
      </w:r>
      <w:r w:rsidR="001E6F94">
        <w:rPr>
          <w:b/>
        </w:rPr>
        <w:t>Learning</w:t>
      </w:r>
      <w:r w:rsidRPr="005D692B">
        <w:rPr>
          <w:b/>
        </w:rPr>
        <w:t xml:space="preserve">, and </w:t>
      </w:r>
      <w:r w:rsidR="00E76EC9">
        <w:rPr>
          <w:b/>
        </w:rPr>
        <w:t>Employment</w:t>
      </w:r>
      <w:r w:rsidR="00E76EC9" w:rsidRPr="005D692B">
        <w:rPr>
          <w:b/>
        </w:rPr>
        <w:t xml:space="preserve"> </w:t>
      </w:r>
      <w:r w:rsidRPr="005D692B">
        <w:rPr>
          <w:b/>
        </w:rPr>
        <w:t>"</w:t>
      </w:r>
    </w:p>
    <w:p w:rsidR="002F3AE2" w:rsidRDefault="005D692B" w:rsidP="005D692B">
      <w:r>
        <w:t>This theme explores the transformative role of community colleges in preparing students for the future workforce. It highlights the importance of adapting curricula to meet evolving industry needs, integrating cutting-edge technologies, and fostering strong partnerships between educational institutions and industry leaders. By focusing on innovative career and technical education practices and aligning academic programs with real-world demands, this approach ensures that students gain the relevant skills, hands-on experience, and critical thinking abilities needed to thrive in tomorrow’s job market.</w:t>
      </w:r>
    </w:p>
    <w:sectPr w:rsidR="002F3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AE2"/>
    <w:rsid w:val="001E6F94"/>
    <w:rsid w:val="002F3AE2"/>
    <w:rsid w:val="00311611"/>
    <w:rsid w:val="005D692B"/>
    <w:rsid w:val="00C63512"/>
    <w:rsid w:val="00D807F8"/>
    <w:rsid w:val="00E7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FE617"/>
  <w15:chartTrackingRefBased/>
  <w15:docId w15:val="{1CA663DD-EE99-4949-962F-0D0C965DE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Dunneback</dc:creator>
  <cp:keywords/>
  <dc:description/>
  <cp:lastModifiedBy>Everitt, Beau L</cp:lastModifiedBy>
  <cp:revision>3</cp:revision>
  <dcterms:created xsi:type="dcterms:W3CDTF">2025-03-25T15:20:00Z</dcterms:created>
  <dcterms:modified xsi:type="dcterms:W3CDTF">2025-04-17T14:39:00Z</dcterms:modified>
</cp:coreProperties>
</file>